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e2aa7e9484a5b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13254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O.Š. NEORIĆ-SUTINA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364.216,54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366.831,59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403.468,53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364.435,70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2.395,89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15.968,75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15.968,75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39.251,99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13.572,86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34,6</w:t>
            </w:r>
          </w:p>
        </w:tc>
      </w:tr>
    </w:tbl>
    <w:p>
      <w:pPr>
        <w:spacing w:before="0" w:after="0"/>
      </w:pPr>
    </w:p>
    <w:p>
      <w:r>
        <w:t xml:space="preserve">Prihodi poslovanja za razdoblje od 1.1. do 30.6.2026. godine iznose 366.831,59. Rashodi poslovanja za isto obračunsko razdoblje iznose 364.435,70. Iskazan je višak prihoda poslovanja u iznosu od 2.395,89. U istom obračunskom razdoblju škola nije imala prihode od prodaje nefinancijske imovine, a ostvarila je rashode za nabavu nefinancijske imovine u iznosu 15.968,75, te je iskazan manjak prihoda od nefinancijske imovine u iznosu od 15.968,75. U istom razdoblju škola nije imala ukupne primitke od financijske imovine i zaduživanja, kao ni izdatke za financijsku imovinu i otplate zajmova. Ukupan manjak prihoda obračunskog razdoblja iznosi 13.572,86.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1.425,64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iskazane su odspjele obveze u iznosu od 1.425,64 koje proizlaze iz redovnog poslovanja škole. Razlog nastanka dospjelih obveza je kašnjenje u doznačavanju financijskih sredstava od strane nadležnog proračuna, iz kojih se podmiruju rashodi poslovanja. Dospjele obveze za materijalne rashode kojima je dospijeće u 6.mjesecu će biti podmirene od nadležnog proračuna.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432b47d66624273" /></Relationships>
</file>